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9363EAD" w14:textId="77777777" w:rsidTr="0041512A">
        <w:tc>
          <w:tcPr>
            <w:tcW w:w="2263" w:type="dxa"/>
          </w:tcPr>
          <w:p w14:paraId="61597E2B" w14:textId="06D9A658" w:rsidR="0041512A" w:rsidRDefault="005C2EBF" w:rsidP="0041512A">
            <w:pPr>
              <w:spacing w:before="120" w:after="120"/>
            </w:pPr>
            <w:r>
              <w:fldChar w:fldCharType="begin"/>
            </w:r>
            <w:r w:rsidR="004B3745">
              <w:instrText>HYPERLINK "../PROCEDIMENTI.docx"</w:instrText>
            </w:r>
            <w: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fldChar w:fldCharType="end"/>
            </w:r>
          </w:p>
        </w:tc>
        <w:tc>
          <w:tcPr>
            <w:tcW w:w="5387" w:type="dxa"/>
          </w:tcPr>
          <w:p w14:paraId="414A2F82" w14:textId="77777777" w:rsidR="0041512A" w:rsidRPr="00F850A2" w:rsidRDefault="00713CEA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Licenze spettacolo viaggiante</w:t>
            </w:r>
          </w:p>
        </w:tc>
        <w:tc>
          <w:tcPr>
            <w:tcW w:w="1979" w:type="dxa"/>
          </w:tcPr>
          <w:p w14:paraId="560D59AE" w14:textId="5CB95EFA" w:rsidR="0041512A" w:rsidRPr="0041512A" w:rsidRDefault="008D123D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5C2EBF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ECE4ACB" w14:textId="77777777" w:rsidTr="0041512A">
        <w:tc>
          <w:tcPr>
            <w:tcW w:w="9629" w:type="dxa"/>
            <w:gridSpan w:val="3"/>
          </w:tcPr>
          <w:p w14:paraId="110F6438" w14:textId="29C2B782" w:rsidR="00F33A15" w:rsidRPr="00D124C1" w:rsidRDefault="00D124C1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D124C1">
              <w:rPr>
                <w:rStyle w:val="Collegamentoipertestuale"/>
                <w:b/>
                <w:color w:val="C00000"/>
                <w:u w:val="none"/>
              </w:rPr>
              <w:t>Definizioni</w:t>
            </w:r>
          </w:p>
          <w:p w14:paraId="202F63FA" w14:textId="77777777" w:rsidR="00DC246A" w:rsidRPr="008162B9" w:rsidRDefault="00DC246A" w:rsidP="00DC246A">
            <w:pPr>
              <w:spacing w:after="120" w:line="270" w:lineRule="atLeast"/>
              <w:ind w:left="174" w:right="318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 attività di spettacolo viaggiante sono classificate in sei sezioni nell'</w:t>
            </w:r>
            <w:hyperlink r:id="rId6" w:tgtFrame="_blank" w:history="1">
              <w:r w:rsidRPr="008162B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elenco delle attrazioni riconosciute</w:t>
              </w:r>
              <w:r w:rsidRPr="008162B9">
                <w:rPr>
                  <w:rStyle w:val="Collegamentoipertestuale"/>
                  <w:rFonts w:eastAsia="Times New Roman"/>
                  <w:sz w:val="20"/>
                  <w:szCs w:val="20"/>
                  <w:lang w:eastAsia="it-IT"/>
                </w:rPr>
                <w:t>,</w:t>
              </w:r>
            </w:hyperlink>
            <w:r w:rsidRPr="008162B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istituito sulla base dell'articolo 4 della </w:t>
            </w:r>
            <w:r w:rsidRPr="008162B9">
              <w:rPr>
                <w:rFonts w:eastAsia="Times New Roman"/>
                <w:sz w:val="20"/>
                <w:szCs w:val="20"/>
                <w:lang w:eastAsia="it-IT"/>
              </w:rPr>
              <w:fldChar w:fldCharType="begin"/>
            </w:r>
            <w:r>
              <w:rPr>
                <w:rFonts w:eastAsia="Times New Roman"/>
                <w:sz w:val="20"/>
                <w:szCs w:val="20"/>
                <w:lang w:eastAsia="it-IT"/>
              </w:rPr>
              <w:instrText>HYPERLINK "https://www.normattiva.it/uri-res/N2Ls?urn:nir:stato:legge:1968;337" \t "_blank"</w:instrText>
            </w:r>
            <w:r w:rsidRPr="008162B9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B87D91">
              <w:rPr>
                <w:rStyle w:val="Collegamentoipertestuale"/>
                <w:rFonts w:eastAsia="Times New Roman"/>
                <w:b/>
                <w:bCs/>
                <w:sz w:val="20"/>
                <w:szCs w:val="20"/>
                <w:u w:val="none"/>
                <w:lang w:eastAsia="it-IT"/>
              </w:rPr>
              <w:t>Legge 18/03/1968, n. 337</w:t>
            </w:r>
            <w:r w:rsidRPr="00B87D91">
              <w:rPr>
                <w:rStyle w:val="Collegamentoipertestuale"/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8162B9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</w:t>
            </w:r>
          </w:p>
          <w:p w14:paraId="551B3467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Piccole, medie e grandi attrazioni </w:t>
            </w:r>
          </w:p>
          <w:p w14:paraId="0FB6314E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II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Balli a palchetto o balere</w:t>
            </w:r>
          </w:p>
          <w:p w14:paraId="5B8E47AA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III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Teatri viaggianti</w:t>
            </w:r>
          </w:p>
          <w:p w14:paraId="7C6025C9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IV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Circhi equestri</w:t>
            </w:r>
          </w:p>
          <w:p w14:paraId="0F9698D8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V 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- Esibizioni moto-auto acrobatiche </w:t>
            </w:r>
          </w:p>
          <w:p w14:paraId="1F723DA9" w14:textId="77777777" w:rsidR="00DC246A" w:rsidRPr="008162B9" w:rsidRDefault="00DC246A" w:rsidP="00DC246A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8162B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VI</w:t>
            </w:r>
            <w:r w:rsidRPr="008162B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Spettacolo di strada</w:t>
            </w:r>
          </w:p>
          <w:p w14:paraId="79C2215E" w14:textId="77777777" w:rsidR="008162B9" w:rsidRDefault="008162B9" w:rsidP="008162B9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47ABF54" w14:textId="77777777" w:rsidR="00D124C1" w:rsidRPr="00AB4C12" w:rsidRDefault="00D124C1" w:rsidP="00D124C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40AF97F" w14:textId="062D0496" w:rsidR="00D124C1" w:rsidRPr="001B30C5" w:rsidRDefault="008D123D" w:rsidP="00D124C1">
            <w:pPr>
              <w:pStyle w:val="Paragrafoelenco"/>
              <w:numPr>
                <w:ilvl w:val="0"/>
                <w:numId w:val="9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D124C1" w:rsidRPr="00B340D1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541239E7" w14:textId="77777777" w:rsidR="00D124C1" w:rsidRPr="00E8526E" w:rsidRDefault="00D124C1" w:rsidP="00D124C1">
            <w:pPr>
              <w:pStyle w:val="Paragrafoelenco"/>
              <w:spacing w:before="120" w:after="120"/>
              <w:ind w:left="524"/>
              <w:rPr>
                <w:rFonts w:eastAsia="Times New Roman"/>
                <w:color w:val="0000FF"/>
                <w:sz w:val="12"/>
                <w:szCs w:val="12"/>
                <w:lang w:eastAsia="it-IT"/>
              </w:rPr>
            </w:pPr>
          </w:p>
          <w:p w14:paraId="7CCECECD" w14:textId="77777777" w:rsidR="00B340D1" w:rsidRPr="00B340D1" w:rsidRDefault="00D124C1" w:rsidP="00B340D1">
            <w:pPr>
              <w:pStyle w:val="Paragrafoelenco"/>
              <w:numPr>
                <w:ilvl w:val="0"/>
                <w:numId w:val="9"/>
              </w:numPr>
              <w:spacing w:line="270" w:lineRule="atLeast"/>
              <w:ind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340D1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="00B340D1" w:rsidRPr="00B340D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gestire spettacoli viaggianti e ottenere la licenza è necessario avere la disponibilità di </w:t>
            </w:r>
            <w:r w:rsidR="00B340D1" w:rsidRPr="00B340D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una o più attrazioni</w:t>
            </w:r>
            <w:r w:rsidR="00B340D1" w:rsidRPr="00B340D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regolarmente registrate o delle altre strutture necessarie per l’esercizio delle diverse attività di spettacolo viaggiante. Soltanto le singole attrazioni registrate saranno indicate nella licenza stessa.</w:t>
            </w:r>
          </w:p>
          <w:p w14:paraId="341BA27F" w14:textId="77777777" w:rsidR="00B340D1" w:rsidRPr="00B340D1" w:rsidRDefault="00B340D1" w:rsidP="00B340D1">
            <w:pPr>
              <w:pStyle w:val="Paragrafoelenco"/>
              <w:spacing w:after="120"/>
              <w:ind w:left="524" w:right="312"/>
              <w:jc w:val="both"/>
              <w:rPr>
                <w:sz w:val="12"/>
                <w:szCs w:val="12"/>
                <w:u w:val="none"/>
              </w:rPr>
            </w:pPr>
          </w:p>
          <w:p w14:paraId="5A4438AB" w14:textId="4264220E" w:rsidR="00D124C1" w:rsidRPr="00B340D1" w:rsidRDefault="00B340D1" w:rsidP="00BA525B">
            <w:pPr>
              <w:pStyle w:val="Paragrafoelenco"/>
              <w:numPr>
                <w:ilvl w:val="0"/>
                <w:numId w:val="9"/>
              </w:numPr>
              <w:spacing w:after="120"/>
              <w:ind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B340D1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Prevenzione incendi - 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Se lo spettacolo viaggiante ha una capacità inferiore alle 200 persone occorre presentare la SCIA di prevenzione incendi compilando il dovuto Modulo allegandolo alla </w:t>
            </w:r>
            <w:r w:rsidRPr="00B340D1">
              <w:rPr>
                <w:b/>
                <w:color w:val="auto"/>
                <w:sz w:val="20"/>
                <w:szCs w:val="20"/>
                <w:u w:val="none"/>
              </w:rPr>
              <w:t>SCIA UNICA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 che è trasmesso dal SUAP al Comando Provinciale VVF. </w:t>
            </w:r>
            <w:r w:rsidRPr="00B340D1">
              <w:rPr>
                <w:b/>
                <w:bCs/>
                <w:color w:val="auto"/>
                <w:sz w:val="20"/>
                <w:szCs w:val="20"/>
                <w:u w:val="none"/>
              </w:rPr>
              <w:t>Se supera le 200 persone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 l’istanza di autorizzazione è sottoposta al parere preventivo della   </w:t>
            </w:r>
            <w:hyperlink r:id="rId8" w:history="1">
              <w:r w:rsidRPr="00B340D1">
                <w:rPr>
                  <w:rStyle w:val="Collegamentoipertestuale"/>
                  <w:b/>
                  <w:sz w:val="20"/>
                  <w:szCs w:val="20"/>
                </w:rPr>
                <w:t>CCVLPS</w:t>
              </w:r>
              <w:r w:rsidRPr="00B340D1">
                <w:rPr>
                  <w:rStyle w:val="Collegamentoipertestuale"/>
                  <w:sz w:val="20"/>
                  <w:szCs w:val="20"/>
                </w:rPr>
                <w:t>.</w:t>
              </w:r>
            </w:hyperlink>
          </w:p>
          <w:p w14:paraId="64C57BA1" w14:textId="77777777" w:rsidR="00D124C1" w:rsidRPr="00B44994" w:rsidRDefault="00D124C1" w:rsidP="00D124C1">
            <w:pPr>
              <w:pStyle w:val="Paragrafoelenco"/>
              <w:ind w:left="524"/>
              <w:rPr>
                <w:b/>
                <w:bCs/>
                <w:color w:val="0000FF"/>
                <w:u w:val="none"/>
              </w:rPr>
            </w:pPr>
          </w:p>
          <w:p w14:paraId="0724AAC1" w14:textId="77777777" w:rsidR="00D124C1" w:rsidRPr="00B44994" w:rsidRDefault="00D124C1" w:rsidP="00D124C1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B4499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4B76ABB" w14:textId="2C8FB402" w:rsidR="00D124C1" w:rsidRPr="00722092" w:rsidRDefault="00B340D1" w:rsidP="00D124C1">
            <w:pPr>
              <w:spacing w:after="120"/>
              <w:ind w:left="174" w:right="318"/>
              <w:jc w:val="both"/>
              <w:rPr>
                <w:sz w:val="20"/>
                <w:szCs w:val="20"/>
                <w:u w:val="none"/>
              </w:rPr>
            </w:pPr>
            <w:r w:rsidRPr="003E534A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gestire professionalmente l’attività di spettacolo viaggiante deve munirsi di apposita licenza, prevista dagli artt. 68 o 69 del TULPS, presentando al SUAP apposita </w:t>
            </w:r>
            <w:r w:rsidR="00344978" w:rsidRPr="003E534A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istanza</w:t>
            </w:r>
            <w:r w:rsidR="00344978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="00344978" w:rsidRPr="0072209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mediante</w:t>
            </w:r>
            <w:r w:rsidR="00D124C1" w:rsidRPr="00722092">
              <w:rPr>
                <w:color w:val="auto"/>
                <w:sz w:val="20"/>
                <w:szCs w:val="20"/>
                <w:u w:val="none"/>
              </w:rPr>
              <w:t xml:space="preserve"> presentazione della richiesta allo sportello telematico </w:t>
            </w:r>
            <w:hyperlink r:id="rId9" w:history="1">
              <w:r w:rsidR="00D124C1" w:rsidRPr="00722092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Impresainungiorno.gov.it </w:t>
              </w:r>
              <w:r w:rsidR="00D124C1" w:rsidRPr="00722092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1814717" w14:textId="6A36F9EE" w:rsidR="00772CDC" w:rsidRPr="00DB0C6C" w:rsidRDefault="00D124C1" w:rsidP="00772CDC">
            <w:pPr>
              <w:spacing w:before="30" w:after="120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22092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 (Ateco da 90 a 93)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722092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772CDC">
              <w:rPr>
                <w:b/>
                <w:color w:val="auto"/>
                <w:sz w:val="20"/>
                <w:szCs w:val="20"/>
                <w:u w:val="none"/>
              </w:rPr>
              <w:t>S</w:t>
            </w:r>
            <w:r w:rsidR="00772CDC" w:rsidRPr="003E534A">
              <w:rPr>
                <w:b/>
                <w:bCs/>
                <w:color w:val="auto"/>
                <w:sz w:val="20"/>
                <w:szCs w:val="20"/>
                <w:u w:val="none"/>
              </w:rPr>
              <w:t>pettacolo viaggiante (giostre, luna park, circhi, attrazioni varie)</w:t>
            </w:r>
            <w:r w:rsidR="00772CDC"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="00772CDC" w:rsidRPr="003E534A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="00772CDC" w:rsidRPr="003E534A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="00772CDC"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772CDC" w:rsidRPr="003E534A">
              <w:rPr>
                <w:color w:val="auto"/>
                <w:sz w:val="20"/>
                <w:szCs w:val="20"/>
                <w:u w:val="none"/>
              </w:rPr>
              <w:t>conferma e</w:t>
            </w:r>
            <w:r w:rsidR="00772CDC"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772CDC" w:rsidRPr="003E534A">
              <w:rPr>
                <w:color w:val="auto"/>
                <w:sz w:val="20"/>
                <w:szCs w:val="20"/>
                <w:u w:val="none"/>
              </w:rPr>
              <w:t>procedere</w:t>
            </w:r>
            <w:r w:rsidR="00772CDC"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772CDC" w:rsidRPr="003E534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="00772CDC"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</w:t>
            </w:r>
            <w:r w:rsidR="00772CD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="00772CDC"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="00772CDC" w:rsidRPr="00DB0C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quindi scegliere tra:</w:t>
            </w:r>
          </w:p>
          <w:p w14:paraId="5790DCF9" w14:textId="77777777" w:rsidR="00772CDC" w:rsidRPr="00DB0C6C" w:rsidRDefault="008D123D" w:rsidP="00772CDC">
            <w:pPr>
              <w:pStyle w:val="Paragrafoelenco"/>
              <w:numPr>
                <w:ilvl w:val="0"/>
                <w:numId w:val="8"/>
              </w:numPr>
              <w:ind w:left="447" w:right="318" w:hanging="283"/>
              <w:jc w:val="both"/>
              <w:rPr>
                <w:rStyle w:val="Collegamentoipertestuale"/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hyperlink r:id="rId10" w:tooltip="Nasconde/Visualizza il dettaglio dell'intervento" w:history="1">
              <w:r w:rsidR="00772CDC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</w:t>
              </w:r>
              <w:r w:rsidR="00772CDC" w:rsidRPr="00DB0C6C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sercitare l’attività tutto il territorio </w:t>
              </w:r>
              <w:r w:rsidR="00772CDC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n</w:t>
              </w:r>
              <w:r w:rsidR="00772CDC" w:rsidRPr="00DB0C6C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azionale</w:t>
              </w:r>
            </w:hyperlink>
          </w:p>
          <w:p w14:paraId="4976538D" w14:textId="77777777" w:rsidR="00772CDC" w:rsidRPr="00DB0C6C" w:rsidRDefault="00772CDC" w:rsidP="00772CDC">
            <w:pPr>
              <w:pStyle w:val="Paragrafoelenco"/>
              <w:numPr>
                <w:ilvl w:val="0"/>
                <w:numId w:val="8"/>
              </w:numPr>
              <w:ind w:left="447" w:right="318" w:hanging="283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DB0C6C">
              <w:rPr>
                <w:rStyle w:val="scelta-evidenziata1"/>
                <w:color w:val="000000"/>
                <w:u w:val="none"/>
              </w:rPr>
              <w:t>Esercitare l'attività temporanea di spettacolo viaggiante nei Luna Park</w:t>
            </w:r>
          </w:p>
          <w:p w14:paraId="6B29E54C" w14:textId="77777777" w:rsidR="00D124C1" w:rsidRDefault="00D124C1" w:rsidP="00D124C1">
            <w:pPr>
              <w:ind w:left="174" w:right="318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414E944A" w14:textId="50E13301" w:rsidR="00D124C1" w:rsidRDefault="00D124C1" w:rsidP="00D124C1">
            <w:pPr>
              <w:ind w:left="174" w:right="318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986DC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722092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Pr="0072209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986DC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Sospensione dell’attività (max 30 giorni)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; </w:t>
            </w:r>
            <w:r w:rsidR="0034497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Aggiungere attrazioni nella licenza; Dismettere attrazioni nella licenza; Nomina del rappresentante; Richiedere nulla osta di agibilità per allestimenti temporanei; Cessazione dell’attività da comunicare entro sette giorni. </w:t>
            </w:r>
          </w:p>
          <w:p w14:paraId="462E9DC2" w14:textId="1E20ECC2" w:rsidR="00344978" w:rsidRPr="00722092" w:rsidRDefault="00344978" w:rsidP="00344978">
            <w:pPr>
              <w:ind w:left="174" w:right="318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r w:rsidRPr="00722092">
              <w:rPr>
                <w:b/>
                <w:color w:val="FF0000"/>
                <w:sz w:val="20"/>
                <w:szCs w:val="20"/>
                <w:u w:val="none"/>
              </w:rPr>
              <w:t xml:space="preserve">Non è ammesso il subingresso </w:t>
            </w:r>
            <w:r w:rsidRPr="00344978">
              <w:rPr>
                <w:b/>
                <w:color w:val="auto"/>
                <w:sz w:val="20"/>
                <w:szCs w:val="20"/>
                <w:u w:val="none"/>
              </w:rPr>
              <w:t>in continuità della licenza per spettacolo viaggiante con attrazioni</w:t>
            </w:r>
            <w:r>
              <w:rPr>
                <w:b/>
                <w:color w:val="auto"/>
                <w:sz w:val="20"/>
                <w:szCs w:val="20"/>
                <w:u w:val="none"/>
              </w:rPr>
              <w:t>,</w:t>
            </w:r>
            <w:r w:rsidRPr="00344978">
              <w:rPr>
                <w:b/>
                <w:color w:val="auto"/>
                <w:sz w:val="20"/>
                <w:szCs w:val="20"/>
                <w:u w:val="none"/>
              </w:rPr>
              <w:t xml:space="preserve"> pertanto l'utilizzo di un'attività esistente da parte di un nuovo gestore, questi deve ottenere dal SUAP la voltura degli atti di registrazione e di assegnazione del codice identificativo oltre il rilascio di una nuova licenza. </w:t>
            </w:r>
          </w:p>
          <w:p w14:paraId="2FB56B80" w14:textId="77777777" w:rsidR="00344978" w:rsidRDefault="00344978" w:rsidP="00D124C1">
            <w:pPr>
              <w:ind w:left="164" w:right="312"/>
              <w:jc w:val="both"/>
            </w:pPr>
          </w:p>
          <w:p w14:paraId="1D11B890" w14:textId="0F8E7EA2" w:rsidR="00C35F43" w:rsidRPr="004B3745" w:rsidRDefault="004B3745" w:rsidP="00C35F43">
            <w:pPr>
              <w:ind w:left="164" w:right="312"/>
              <w:jc w:val="both"/>
              <w:rPr>
                <w:rStyle w:val="Collegamentoipertestuale"/>
                <w:rFonts w:eastAsia="Times New Roman"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"Definizioni/4SV%20Allegati.docx" </w:instrText>
            </w:r>
            <w:r>
              <w:rPr>
                <w:b/>
                <w:bCs/>
              </w:rPr>
              <w:fldChar w:fldCharType="separate"/>
            </w:r>
            <w:r w:rsidR="00C35F43" w:rsidRPr="004B3745">
              <w:rPr>
                <w:rStyle w:val="Collegamentoipertestuale"/>
                <w:b/>
                <w:bCs/>
              </w:rPr>
              <w:t xml:space="preserve">Allegati </w:t>
            </w:r>
          </w:p>
          <w:p w14:paraId="4BE23644" w14:textId="3EB3CBE5" w:rsidR="00C35F43" w:rsidRDefault="004B3745" w:rsidP="00C35F4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  <w:r>
              <w:rPr>
                <w:b/>
                <w:bCs/>
              </w:rPr>
              <w:fldChar w:fldCharType="end"/>
            </w:r>
          </w:p>
          <w:p w14:paraId="4048B342" w14:textId="5AD92826" w:rsidR="00C35F43" w:rsidRPr="00744B7C" w:rsidRDefault="008D123D" w:rsidP="00C35F4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1" w:history="1">
              <w:r w:rsidR="00C35F43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C35F43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C35F43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C35F4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C35F4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attività</w:t>
            </w:r>
            <w:r w:rsidR="00C35F4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C35F4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C35F4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C35F4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C35F4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4011BBAD" w14:textId="77777777" w:rsidR="00C35F43" w:rsidRDefault="00C35F43" w:rsidP="00C35F4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359A761" w14:textId="465733C6" w:rsidR="00C35F43" w:rsidRPr="00A960D3" w:rsidRDefault="00C35F43" w:rsidP="00C35F4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"Definizioni/5SV%20Tariffe%20spettacolo%20viaggiante.docx"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</w:t>
            </w:r>
            <w:r w:rsidRPr="00A960D3">
              <w:rPr>
                <w:rStyle w:val="Collegamentoipertestuale"/>
                <w:b/>
                <w:bCs/>
              </w:rPr>
              <w:t>o</w:t>
            </w:r>
            <w:r w:rsidRPr="00A960D3">
              <w:rPr>
                <w:rStyle w:val="Collegamentoipertestuale"/>
                <w:b/>
                <w:bCs/>
              </w:rPr>
              <w:t>ri</w:t>
            </w:r>
          </w:p>
          <w:p w14:paraId="2176EB50" w14:textId="77777777" w:rsidR="00C35F43" w:rsidRDefault="00C35F43" w:rsidP="00C35F4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A2E22F1" w14:textId="77777777" w:rsidR="00C35F43" w:rsidRPr="00042B0E" w:rsidRDefault="00C35F43" w:rsidP="00C35F43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E6ADD13" w14:textId="77777777" w:rsidR="00C35F43" w:rsidRDefault="00C35F43" w:rsidP="00C35F43">
            <w:pPr>
              <w:pStyle w:val="Paragrafoelenco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4F5335E2" w14:textId="77777777" w:rsidR="00C35F43" w:rsidRDefault="00C35F43" w:rsidP="00C35F43">
            <w:pPr>
              <w:pStyle w:val="Paragrafoelenco"/>
              <w:ind w:left="164" w:right="312"/>
              <w:jc w:val="both"/>
              <w:rPr>
                <w:b/>
                <w:color w:val="C00000"/>
              </w:rPr>
            </w:pPr>
          </w:p>
          <w:p w14:paraId="06FF7150" w14:textId="7EB70BF8" w:rsidR="00C35F43" w:rsidRPr="00A47943" w:rsidRDefault="00C35F43" w:rsidP="00C35F4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2B0E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– 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SUAP si esprime sull’accoglimento dell’istanza entro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60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 giorni dalla richiesta preliminare o dall’istanza telematica. </w:t>
            </w:r>
          </w:p>
          <w:p w14:paraId="10AAC3E9" w14:textId="77777777" w:rsidR="00C35F43" w:rsidRPr="00A47943" w:rsidRDefault="00C35F43" w:rsidP="00C35F4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>Il termine si interrompe per eventuale richiesta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di integrazione documentale e riprende ad integrazione avvenuta. </w:t>
            </w:r>
          </w:p>
          <w:p w14:paraId="022A7DD1" w14:textId="77777777" w:rsidR="00C35F43" w:rsidRPr="00A47943" w:rsidRDefault="00C35F43" w:rsidP="00C35F4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Decorso detto termine senza alcuna pronuncia si intende consolidato il silenzio assenso. </w:t>
            </w:r>
          </w:p>
          <w:p w14:paraId="332968EF" w14:textId="77777777" w:rsidR="00C35F43" w:rsidRDefault="00C35F43" w:rsidP="00C35F43">
            <w:pPr>
              <w:pStyle w:val="Rientrocorpodeltesto"/>
              <w:spacing w:after="0"/>
              <w:ind w:left="164"/>
              <w:jc w:val="both"/>
            </w:pPr>
          </w:p>
          <w:p w14:paraId="69ACF315" w14:textId="6221C5CA" w:rsidR="00A10485" w:rsidRPr="005749E3" w:rsidRDefault="008D123D" w:rsidP="00A10485">
            <w:pPr>
              <w:pStyle w:val="Rientrocorpodeltesto"/>
              <w:spacing w:after="0"/>
              <w:ind w:left="164"/>
              <w:jc w:val="both"/>
              <w:rPr>
                <w:bCs/>
                <w:sz w:val="20"/>
                <w:szCs w:val="20"/>
                <w:u w:val="none"/>
              </w:rPr>
            </w:pPr>
            <w:hyperlink r:id="rId12" w:history="1">
              <w:r w:rsidR="00C35F4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C35F4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C35F4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C35F4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4B3745" w:rsidRPr="00B65D89">
                <w:rPr>
                  <w:rStyle w:val="Collegamentoipertestuale"/>
                  <w:b/>
                  <w:sz w:val="20"/>
                  <w:szCs w:val="20"/>
                </w:rPr>
                <w:t>Parte 6^</w:t>
              </w:r>
              <w:r w:rsidR="004B3745" w:rsidRPr="00B65D89">
                <w:rPr>
                  <w:rStyle w:val="Collegamentoipertestuale"/>
                  <w:b/>
                  <w:sz w:val="20"/>
                  <w:szCs w:val="20"/>
                </w:rPr>
                <w:t xml:space="preserve"> </w:t>
              </w:r>
              <w:r w:rsidR="004B3745" w:rsidRPr="00B65D89">
                <w:rPr>
                  <w:rStyle w:val="Collegamentoipertestuale"/>
                  <w:b/>
                  <w:sz w:val="20"/>
                  <w:szCs w:val="20"/>
                </w:rPr>
                <w:t>del TUR</w:t>
              </w:r>
            </w:hyperlink>
            <w:r w:rsidR="00A10485" w:rsidRPr="005749E3">
              <w:rPr>
                <w:b/>
                <w:sz w:val="20"/>
                <w:szCs w:val="20"/>
                <w:u w:val="none"/>
              </w:rPr>
              <w:t xml:space="preserve">  </w:t>
            </w:r>
            <w:r w:rsidR="00A10485" w:rsidRPr="005749E3">
              <w:rPr>
                <w:bCs/>
                <w:color w:val="auto"/>
                <w:sz w:val="20"/>
                <w:szCs w:val="20"/>
                <w:u w:val="none"/>
              </w:rPr>
              <w:t>Spettacolo viaggiante</w:t>
            </w:r>
          </w:p>
          <w:p w14:paraId="07A32BBC" w14:textId="77777777" w:rsidR="00C35F43" w:rsidRPr="005749E3" w:rsidRDefault="00C35F43" w:rsidP="00C35F43">
            <w:pPr>
              <w:pStyle w:val="Rientrocorpodeltesto"/>
              <w:spacing w:after="0"/>
              <w:ind w:left="164"/>
              <w:jc w:val="both"/>
            </w:pPr>
          </w:p>
          <w:p w14:paraId="2E6FD7A0" w14:textId="40C9B97D" w:rsidR="008162B9" w:rsidRDefault="00C35F43" w:rsidP="00C35F43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5749E3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Per l’esercizio di vendita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al dettaglio </w:t>
            </w:r>
            <w:r w:rsidRPr="005749E3">
              <w:rPr>
                <w:b/>
                <w:bCs/>
                <w:color w:val="auto"/>
                <w:sz w:val="20"/>
                <w:szCs w:val="20"/>
                <w:u w:val="none"/>
              </w:rPr>
              <w:t>o somministrazione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di alimenti e bevande,</w:t>
            </w:r>
            <w:r w:rsidRPr="005749E3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correlate all’attività di spettacolo viaggiante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49E3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occorre ottenere la specifica abilitazione itinerante su aree pubbliche.</w:t>
            </w:r>
          </w:p>
          <w:p w14:paraId="3C99B18D" w14:textId="4F0221B7" w:rsidR="00276654" w:rsidRDefault="00276654" w:rsidP="00F850A2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</w:p>
          <w:p w14:paraId="6F3D540C" w14:textId="77777777" w:rsidR="00F850A2" w:rsidRPr="0041512A" w:rsidRDefault="00F850A2" w:rsidP="00F850A2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6B182017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CD5"/>
    <w:multiLevelType w:val="hybridMultilevel"/>
    <w:tmpl w:val="23FCD35A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 w:tentative="1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51B54F3"/>
    <w:multiLevelType w:val="hybridMultilevel"/>
    <w:tmpl w:val="683A18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F2A35"/>
    <w:multiLevelType w:val="hybridMultilevel"/>
    <w:tmpl w:val="D55CD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B2873F3"/>
    <w:multiLevelType w:val="hybridMultilevel"/>
    <w:tmpl w:val="75EAFD3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0474C"/>
    <w:rsid w:val="0003034E"/>
    <w:rsid w:val="00082D8F"/>
    <w:rsid w:val="000E4B7E"/>
    <w:rsid w:val="000F3ADF"/>
    <w:rsid w:val="00112873"/>
    <w:rsid w:val="00117F1E"/>
    <w:rsid w:val="00165FAE"/>
    <w:rsid w:val="002210DE"/>
    <w:rsid w:val="0023487B"/>
    <w:rsid w:val="00276654"/>
    <w:rsid w:val="002A5D7C"/>
    <w:rsid w:val="002A6285"/>
    <w:rsid w:val="002B375D"/>
    <w:rsid w:val="00342D58"/>
    <w:rsid w:val="00344978"/>
    <w:rsid w:val="003A2C49"/>
    <w:rsid w:val="003A4A32"/>
    <w:rsid w:val="003C5FBA"/>
    <w:rsid w:val="003E534A"/>
    <w:rsid w:val="0041019B"/>
    <w:rsid w:val="00412986"/>
    <w:rsid w:val="0041512A"/>
    <w:rsid w:val="004257E1"/>
    <w:rsid w:val="0044342C"/>
    <w:rsid w:val="0045341A"/>
    <w:rsid w:val="004704B5"/>
    <w:rsid w:val="00493BD0"/>
    <w:rsid w:val="004B3745"/>
    <w:rsid w:val="004F3CF0"/>
    <w:rsid w:val="004F59C5"/>
    <w:rsid w:val="004F667B"/>
    <w:rsid w:val="00504C77"/>
    <w:rsid w:val="00506E58"/>
    <w:rsid w:val="005930C1"/>
    <w:rsid w:val="005959E6"/>
    <w:rsid w:val="005C2EBF"/>
    <w:rsid w:val="005C68B2"/>
    <w:rsid w:val="005C720B"/>
    <w:rsid w:val="00621A5C"/>
    <w:rsid w:val="00651378"/>
    <w:rsid w:val="00692827"/>
    <w:rsid w:val="006B29D2"/>
    <w:rsid w:val="006B3A13"/>
    <w:rsid w:val="006C7151"/>
    <w:rsid w:val="00705665"/>
    <w:rsid w:val="00713CEA"/>
    <w:rsid w:val="00722092"/>
    <w:rsid w:val="00737DA2"/>
    <w:rsid w:val="00746376"/>
    <w:rsid w:val="0075509D"/>
    <w:rsid w:val="00772CDC"/>
    <w:rsid w:val="008162B9"/>
    <w:rsid w:val="0082478D"/>
    <w:rsid w:val="00897F79"/>
    <w:rsid w:val="008C7E66"/>
    <w:rsid w:val="008D123D"/>
    <w:rsid w:val="00945B26"/>
    <w:rsid w:val="00950C7F"/>
    <w:rsid w:val="009A4645"/>
    <w:rsid w:val="00A06B50"/>
    <w:rsid w:val="00A10485"/>
    <w:rsid w:val="00AA458C"/>
    <w:rsid w:val="00AE65BE"/>
    <w:rsid w:val="00B0731C"/>
    <w:rsid w:val="00B340D1"/>
    <w:rsid w:val="00B66F7C"/>
    <w:rsid w:val="00BF42AE"/>
    <w:rsid w:val="00C35F43"/>
    <w:rsid w:val="00C459E8"/>
    <w:rsid w:val="00C75D34"/>
    <w:rsid w:val="00CD592E"/>
    <w:rsid w:val="00D07966"/>
    <w:rsid w:val="00D124C1"/>
    <w:rsid w:val="00D16B5E"/>
    <w:rsid w:val="00DB0C6C"/>
    <w:rsid w:val="00DC246A"/>
    <w:rsid w:val="00DC5DC3"/>
    <w:rsid w:val="00DF0435"/>
    <w:rsid w:val="00E25843"/>
    <w:rsid w:val="00E660BB"/>
    <w:rsid w:val="00E72770"/>
    <w:rsid w:val="00EB1403"/>
    <w:rsid w:val="00EE371A"/>
    <w:rsid w:val="00F2381A"/>
    <w:rsid w:val="00F312D0"/>
    <w:rsid w:val="00F33A15"/>
    <w:rsid w:val="00F363F9"/>
    <w:rsid w:val="00F850A2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02BC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character" w:customStyle="1" w:styleId="scelta-evidenziata1">
    <w:name w:val="scelta-evidenziata1"/>
    <w:basedOn w:val="Carpredefinitoparagrafo"/>
    <w:rsid w:val="00DB0C6C"/>
    <w:rPr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340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40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40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40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4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5%20Settore%20Polizia%20Amministrativa/PA11%20Agibilit&#224;%20pubblici%20spettacoli.docx" TargetMode="External"/><Relationship Id="rId13" Type="http://schemas.openxmlformats.org/officeDocument/2006/relationships/hyperlink" Target="file:///C:\Walter\sportello%20unico\Progetto%20PUC\TUR\Parte%206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2SV%20Requisiti%20soggettivi.pdf" TargetMode="External"/><Relationship Id="rId12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efinizioni/3SV%20Elenco%20attrazioni%20aggiornato%20in%20data%2003.08.2020.pdf" TargetMode="External"/><Relationship Id="rId11" Type="http://schemas.openxmlformats.org/officeDocument/2006/relationships/hyperlink" Target="../../ATECO/Ateco%20Arte_Sport.xlsx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presainungiorno.gov.it/foinfo/info/navigation?execution=e1s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33</cp:revision>
  <dcterms:created xsi:type="dcterms:W3CDTF">2018-07-31T13:47:00Z</dcterms:created>
  <dcterms:modified xsi:type="dcterms:W3CDTF">2021-05-12T09:07:00Z</dcterms:modified>
</cp:coreProperties>
</file>